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838"/>
          <w:pgMar w:left="1701" w:right="566" w:header="0" w:top="1134" w:footer="0" w:bottom="709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Показатель «Использование здания, помещения»</w:t>
      </w:r>
    </w:p>
    <w:tbl>
      <w:tblPr>
        <w:tblStyle w:val="a5"/>
        <w:tblpPr w:bottomFromText="0" w:horzAnchor="margin" w:leftFromText="180" w:rightFromText="180" w:tblpX="0" w:tblpY="82" w:topFromText="0" w:vertAnchor="text"/>
        <w:tblW w:w="14701" w:type="dxa"/>
        <w:jc w:val="left"/>
        <w:tblInd w:w="0" w:type="dxa"/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0"/>
        <w:gridCol w:w="5189"/>
        <w:gridCol w:w="4352"/>
      </w:tblGrid>
      <w:tr>
        <w:trPr/>
        <w:tc>
          <w:tcPr>
            <w:tcW w:w="1034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Использование здания, помещения</w:t>
            </w:r>
          </w:p>
        </w:tc>
        <w:tc>
          <w:tcPr>
            <w:tcW w:w="43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Значение показателя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(количество баллов)</w:t>
            </w:r>
          </w:p>
        </w:tc>
      </w:tr>
      <w:tr>
        <w:trPr>
          <w:trHeight w:val="480" w:hRule="atLeast"/>
        </w:trPr>
        <w:tc>
          <w:tcPr>
            <w:tcW w:w="516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Площадь* объекта, используемая для осуществления уставной деятельности учреждения и (или) деятельности органов </w:t>
            </w:r>
            <w:r>
              <w:rPr>
                <w:rFonts w:cs="Times New Roman" w:ascii="Times New Roman" w:hAnsi="Times New Roman"/>
                <w:i w:val="false"/>
                <w:iCs w:val="false"/>
                <w:sz w:val="28"/>
                <w:szCs w:val="28"/>
              </w:rPr>
              <w:t>местного самоуправления</w:t>
            </w:r>
            <w:r>
              <w:rPr>
                <w:rFonts w:cs="Times New Roman" w:ascii="Times New Roman" w:hAnsi="Times New Roman"/>
                <w:i/>
                <w:iCs w:val="false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и (или) переданная в пользование третьим лицам по договорам аренды, безвозмездного пользования</w:t>
            </w:r>
          </w:p>
        </w:tc>
        <w:tc>
          <w:tcPr>
            <w:tcW w:w="51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95 –100%</w:t>
            </w:r>
          </w:p>
        </w:tc>
        <w:tc>
          <w:tcPr>
            <w:tcW w:w="43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</w:tr>
      <w:tr>
        <w:trPr>
          <w:trHeight w:val="405" w:hRule="atLeast"/>
        </w:trPr>
        <w:tc>
          <w:tcPr>
            <w:tcW w:w="516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1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85 – 94%</w:t>
            </w:r>
          </w:p>
        </w:tc>
        <w:tc>
          <w:tcPr>
            <w:tcW w:w="43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90</w:t>
            </w:r>
          </w:p>
        </w:tc>
      </w:tr>
      <w:tr>
        <w:trPr>
          <w:trHeight w:val="203" w:hRule="atLeast"/>
        </w:trPr>
        <w:tc>
          <w:tcPr>
            <w:tcW w:w="516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1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 – 84%</w:t>
            </w:r>
          </w:p>
        </w:tc>
        <w:tc>
          <w:tcPr>
            <w:tcW w:w="43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85</w:t>
            </w:r>
          </w:p>
        </w:tc>
      </w:tr>
      <w:tr>
        <w:trPr>
          <w:trHeight w:val="202" w:hRule="atLeast"/>
        </w:trPr>
        <w:tc>
          <w:tcPr>
            <w:tcW w:w="516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1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75 – 79%</w:t>
            </w:r>
          </w:p>
        </w:tc>
        <w:tc>
          <w:tcPr>
            <w:tcW w:w="43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</w:t>
            </w:r>
          </w:p>
        </w:tc>
      </w:tr>
      <w:tr>
        <w:trPr>
          <w:trHeight w:val="398" w:hRule="atLeast"/>
        </w:trPr>
        <w:tc>
          <w:tcPr>
            <w:tcW w:w="516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1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75% площади объекта</w:t>
            </w:r>
          </w:p>
        </w:tc>
        <w:tc>
          <w:tcPr>
            <w:tcW w:w="43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</w:tr>
      <w:tr>
        <w:trPr>
          <w:trHeight w:val="397" w:hRule="atLeast"/>
        </w:trPr>
        <w:tc>
          <w:tcPr>
            <w:tcW w:w="516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1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объект не используется</w:t>
            </w:r>
          </w:p>
        </w:tc>
        <w:tc>
          <w:tcPr>
            <w:tcW w:w="43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GB"/>
              </w:rPr>
              <w:t>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*Площадь помещений общего пользования: коридоров, холлов, рекреаций, фойе, тамбуров, переходов, лестничных клеток, лифтовых шахт, внутренних открытых лестниц, помещений, предназначенных для размещения инженерного оборудования и инженерных сетей, включается в общий расчет как используемая площадь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Объект (часть объекта) имущества признается неэффективно используемым при следующих значениях: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80 баллов и менее – в случае, если площадь объекта</w:t>
      </w:r>
      <w:r>
        <w:rPr>
          <w:rFonts w:cs="Times New Roman" w:ascii="Times New Roman" w:hAnsi="Times New Roman"/>
          <w:sz w:val="28"/>
          <w:szCs w:val="28"/>
          <w:vertAlign w:val="subscript"/>
        </w:rPr>
        <w:t>.</w:t>
      </w:r>
      <w:r>
        <w:rPr>
          <w:rFonts w:cs="Times New Roman" w:ascii="Times New Roman" w:hAnsi="Times New Roman"/>
          <w:sz w:val="28"/>
          <w:szCs w:val="28"/>
        </w:rPr>
        <w:t xml:space="preserve"> до 200 кв. м;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85 баллов и менее – в случае, если площадь объекта</w:t>
      </w:r>
      <w:r>
        <w:rPr>
          <w:rFonts w:cs="Times New Roman" w:ascii="Times New Roman" w:hAnsi="Times New Roman"/>
          <w:sz w:val="28"/>
          <w:szCs w:val="28"/>
          <w:vertAlign w:val="subscript"/>
        </w:rPr>
        <w:t>.</w:t>
      </w:r>
      <w:r>
        <w:rPr>
          <w:rFonts w:cs="Times New Roman" w:ascii="Times New Roman" w:hAnsi="Times New Roman"/>
          <w:sz w:val="28"/>
          <w:szCs w:val="28"/>
        </w:rPr>
        <w:t xml:space="preserve"> более или равна 200 кв. м, но менее 500 кв. м;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90 баллов и менее – в случае, если площадь объекта более или равна 500 кв. м.</w:t>
      </w:r>
    </w:p>
    <w:p>
      <w:pPr>
        <w:pStyle w:val="Normal"/>
        <w:ind w:firstLine="113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/>
        <w:ind w:left="524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Приложение № 2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Показатель «Факторы коммерческого использования здания, помещения»</w:t>
      </w:r>
    </w:p>
    <w:p>
      <w:pPr>
        <w:pStyle w:val="ListParagraph"/>
        <w:numPr>
          <w:ilvl w:val="0"/>
          <w:numId w:val="1"/>
        </w:numPr>
        <w:spacing w:before="0" w:after="0"/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случае, если арендатором является самозанятый гражданин, субъект малого и среднего предпринимательства:</w:t>
      </w:r>
    </w:p>
    <w:tbl>
      <w:tblPr>
        <w:tblStyle w:val="a5"/>
        <w:tblW w:w="1470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65"/>
        <w:gridCol w:w="7751"/>
        <w:gridCol w:w="3"/>
        <w:gridCol w:w="4381"/>
      </w:tblGrid>
      <w:tr>
        <w:trPr/>
        <w:tc>
          <w:tcPr>
            <w:tcW w:w="1031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Факторы коммерческого использования здания, помещения</w:t>
            </w:r>
          </w:p>
        </w:tc>
        <w:tc>
          <w:tcPr>
            <w:tcW w:w="438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Значение показателя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(количество баллов)</w:t>
            </w:r>
          </w:p>
        </w:tc>
      </w:tr>
      <w:tr>
        <w:trPr>
          <w:trHeight w:val="519" w:hRule="atLeast"/>
        </w:trPr>
        <w:tc>
          <w:tcPr>
            <w:tcW w:w="256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аренды</w:t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 в перечень имущества для субъектов МСП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427" w:hRule="atLeast"/>
        </w:trPr>
        <w:tc>
          <w:tcPr>
            <w:tcW w:w="256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включен в перечень имущества для субъектов МСП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405" w:hRule="atLeast"/>
        </w:trPr>
        <w:tc>
          <w:tcPr>
            <w:tcW w:w="256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 действия договора аренды</w:t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1год и более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425" w:hRule="atLeast"/>
        </w:trPr>
        <w:tc>
          <w:tcPr>
            <w:tcW w:w="256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263" w:hRule="atLeast"/>
        </w:trPr>
        <w:tc>
          <w:tcPr>
            <w:tcW w:w="256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Задолженность по арендной плате</w:t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</w:tr>
      <w:tr>
        <w:trPr>
          <w:trHeight w:val="263" w:hRule="atLeast"/>
        </w:trPr>
        <w:tc>
          <w:tcPr>
            <w:tcW w:w="256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Текущая, составляет не более 2 размеров ежемесячной арендной платы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715" w:hRule="atLeast"/>
        </w:trPr>
        <w:tc>
          <w:tcPr>
            <w:tcW w:w="256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Составляет более 2 размеров ежемесячной арендной платы или не подлежит взысканию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случае, если арендатором является физическое или юридическое лицо, не являющееся самозанятым гражданином, субъектом малого и среднего предпринимательства:</w:t>
      </w:r>
    </w:p>
    <w:tbl>
      <w:tblPr>
        <w:tblStyle w:val="a5"/>
        <w:tblW w:w="1470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65"/>
        <w:gridCol w:w="7751"/>
        <w:gridCol w:w="3"/>
        <w:gridCol w:w="4381"/>
      </w:tblGrid>
      <w:tr>
        <w:trPr/>
        <w:tc>
          <w:tcPr>
            <w:tcW w:w="1031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Факторы коммерческого использования здания, помещения</w:t>
            </w:r>
          </w:p>
        </w:tc>
        <w:tc>
          <w:tcPr>
            <w:tcW w:w="438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Значение показателя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(количество баллов)</w:t>
            </w:r>
          </w:p>
        </w:tc>
      </w:tr>
      <w:tr>
        <w:trPr>
          <w:trHeight w:val="425" w:hRule="atLeast"/>
        </w:trPr>
        <w:tc>
          <w:tcPr>
            <w:tcW w:w="256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 действия договора аренды</w:t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1год и более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</w:t>
            </w:r>
          </w:p>
        </w:tc>
      </w:tr>
      <w:tr>
        <w:trPr>
          <w:trHeight w:val="403" w:hRule="atLeast"/>
        </w:trPr>
        <w:tc>
          <w:tcPr>
            <w:tcW w:w="256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263" w:hRule="atLeast"/>
        </w:trPr>
        <w:tc>
          <w:tcPr>
            <w:tcW w:w="256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Задолженность по арендной плате</w:t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</w:t>
            </w:r>
          </w:p>
        </w:tc>
      </w:tr>
      <w:tr>
        <w:trPr>
          <w:trHeight w:val="263" w:hRule="atLeast"/>
        </w:trPr>
        <w:tc>
          <w:tcPr>
            <w:tcW w:w="256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Текущая, составляет не более 2 размеров ежемесячной арендной платы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704" w:hRule="atLeast"/>
        </w:trPr>
        <w:tc>
          <w:tcPr>
            <w:tcW w:w="256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Составляет более 2 размеров ежемесячной арендной платы или не подлежит взысканию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Объект (или часть объекта) имущества признается неэффективно используемым при следующих значениях: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50 баллов и менее.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240"/>
        <w:ind w:left="524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Приложение № 3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Показатель «Загруженность здания, помещения»</w:t>
      </w:r>
    </w:p>
    <w:tbl>
      <w:tblPr>
        <w:tblStyle w:val="a5"/>
        <w:tblW w:w="1470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2"/>
        <w:gridCol w:w="5225"/>
        <w:gridCol w:w="3"/>
        <w:gridCol w:w="4381"/>
      </w:tblGrid>
      <w:tr>
        <w:trPr>
          <w:trHeight w:val="551" w:hRule="atLeast"/>
        </w:trPr>
        <w:tc>
          <w:tcPr>
            <w:tcW w:w="1031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Загруженность здания, помещения</w:t>
            </w:r>
          </w:p>
        </w:tc>
        <w:tc>
          <w:tcPr>
            <w:tcW w:w="438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Значение показателя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(количество баллов)</w:t>
            </w:r>
          </w:p>
        </w:tc>
      </w:tr>
      <w:tr>
        <w:trPr>
          <w:trHeight w:val="499" w:hRule="atLeast"/>
        </w:trPr>
        <w:tc>
          <w:tcPr>
            <w:tcW w:w="509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Средняя загруженность объекта в день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(средняя продолжительность занятия или мероприятия (часов) 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количество занятий или мероприятий (единиц)</w:t>
            </w:r>
          </w:p>
        </w:tc>
        <w:tc>
          <w:tcPr>
            <w:tcW w:w="522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 часов и более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</w:tr>
      <w:tr>
        <w:trPr>
          <w:trHeight w:val="461" w:hRule="atLeast"/>
        </w:trPr>
        <w:tc>
          <w:tcPr>
            <w:tcW w:w="509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2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3 до 6 часов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>
          <w:trHeight w:val="565" w:hRule="atLeast"/>
        </w:trPr>
        <w:tc>
          <w:tcPr>
            <w:tcW w:w="509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2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3часов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</w:t>
            </w:r>
          </w:p>
        </w:tc>
      </w:tr>
      <w:tr>
        <w:trPr>
          <w:trHeight w:val="547" w:hRule="atLeast"/>
        </w:trPr>
        <w:tc>
          <w:tcPr>
            <w:tcW w:w="509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Средняя загруженность объекта в неделю (количество рабочих дней в неделю, в течение которых объект используется)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2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дня и более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</w:tr>
      <w:tr>
        <w:trPr>
          <w:trHeight w:val="558" w:hRule="atLeast"/>
        </w:trPr>
        <w:tc>
          <w:tcPr>
            <w:tcW w:w="509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2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4 дней</w:t>
            </w:r>
          </w:p>
        </w:tc>
        <w:tc>
          <w:tcPr>
            <w:tcW w:w="43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</w:t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Объект (или часть объекта) имущества признается неэффективно используемым при следующих значениях: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70 баллов и менее.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spacing w:lineRule="auto" w:line="240"/>
        <w:ind w:left="524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Приложение № 4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Показатель «Использование земельного участка»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В случае, если земельный участок закреплен за учреждением:</w:t>
      </w:r>
    </w:p>
    <w:tbl>
      <w:tblPr>
        <w:tblStyle w:val="a5"/>
        <w:tblW w:w="1470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88"/>
        <w:gridCol w:w="5227"/>
        <w:gridCol w:w="3"/>
        <w:gridCol w:w="4383"/>
      </w:tblGrid>
      <w:tr>
        <w:trPr/>
        <w:tc>
          <w:tcPr>
            <w:tcW w:w="10318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Использование земельного участка</w:t>
            </w:r>
          </w:p>
        </w:tc>
        <w:tc>
          <w:tcPr>
            <w:tcW w:w="4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Значение показателя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(количество баллов)</w:t>
            </w:r>
          </w:p>
        </w:tc>
      </w:tr>
      <w:tr>
        <w:trPr>
          <w:trHeight w:val="499" w:hRule="atLeast"/>
        </w:trPr>
        <w:tc>
          <w:tcPr>
            <w:tcW w:w="508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Используемая* площадь земельного участка</w:t>
            </w:r>
          </w:p>
        </w:tc>
        <w:tc>
          <w:tcPr>
            <w:tcW w:w="52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 –100%</w:t>
            </w:r>
          </w:p>
        </w:tc>
        <w:tc>
          <w:tcPr>
            <w:tcW w:w="438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</w:tr>
      <w:tr>
        <w:trPr>
          <w:trHeight w:val="430" w:hRule="atLeast"/>
        </w:trPr>
        <w:tc>
          <w:tcPr>
            <w:tcW w:w="508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 – 79 %</w:t>
            </w:r>
          </w:p>
        </w:tc>
        <w:tc>
          <w:tcPr>
            <w:tcW w:w="438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</w:t>
            </w:r>
          </w:p>
        </w:tc>
      </w:tr>
      <w:tr>
        <w:trPr>
          <w:trHeight w:val="430" w:hRule="atLeast"/>
        </w:trPr>
        <w:tc>
          <w:tcPr>
            <w:tcW w:w="508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50%</w:t>
            </w:r>
          </w:p>
        </w:tc>
        <w:tc>
          <w:tcPr>
            <w:tcW w:w="438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</w:tr>
    </w:tbl>
    <w:p>
      <w:pPr>
        <w:pStyle w:val="ListParagraph"/>
        <w:spacing w:lineRule="auto" w:line="240" w:before="0" w:after="0"/>
        <w:ind w:left="0" w:firstLine="851"/>
        <w:contextualSpacing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8"/>
          <w:szCs w:val="28"/>
        </w:rPr>
        <w:t>*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площадь земельного участка:</w:t>
      </w:r>
    </w:p>
    <w:p>
      <w:pPr>
        <w:pStyle w:val="ListParagraph"/>
        <w:spacing w:lineRule="auto" w:line="240" w:before="0" w:after="0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–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на которой расположены здания, сооружения, объекты незавершенного строительства, а также площадь, необходимая для их эксплуатации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ListParagraph"/>
        <w:spacing w:lineRule="auto" w:line="240" w:before="0" w:after="0"/>
        <w:ind w:left="0" w:firstLine="851"/>
        <w:contextualSpacing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–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необходимая для осуществления основной (уставной) деятельности.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случае, если земельный участок находится в казне Мичуринского района:</w:t>
      </w:r>
    </w:p>
    <w:tbl>
      <w:tblPr>
        <w:tblStyle w:val="a5"/>
        <w:tblW w:w="1470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88"/>
        <w:gridCol w:w="5227"/>
        <w:gridCol w:w="3"/>
        <w:gridCol w:w="4383"/>
      </w:tblGrid>
      <w:tr>
        <w:trPr/>
        <w:tc>
          <w:tcPr>
            <w:tcW w:w="10318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Использование земельного участка</w:t>
            </w:r>
          </w:p>
        </w:tc>
        <w:tc>
          <w:tcPr>
            <w:tcW w:w="4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Значение показателя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(количество баллов)</w:t>
            </w:r>
          </w:p>
        </w:tc>
      </w:tr>
      <w:tr>
        <w:trPr>
          <w:trHeight w:val="499" w:hRule="atLeast"/>
        </w:trPr>
        <w:tc>
          <w:tcPr>
            <w:tcW w:w="508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Используемая* площадь земельного участка</w:t>
            </w:r>
          </w:p>
        </w:tc>
        <w:tc>
          <w:tcPr>
            <w:tcW w:w="52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 –100%</w:t>
            </w:r>
          </w:p>
        </w:tc>
        <w:tc>
          <w:tcPr>
            <w:tcW w:w="438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</w:tr>
      <w:tr>
        <w:trPr>
          <w:trHeight w:val="430" w:hRule="atLeast"/>
        </w:trPr>
        <w:tc>
          <w:tcPr>
            <w:tcW w:w="508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 – 79 %</w:t>
            </w:r>
          </w:p>
        </w:tc>
        <w:tc>
          <w:tcPr>
            <w:tcW w:w="438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</w:t>
            </w:r>
          </w:p>
        </w:tc>
      </w:tr>
      <w:tr>
        <w:trPr>
          <w:trHeight w:val="430" w:hRule="atLeast"/>
        </w:trPr>
        <w:tc>
          <w:tcPr>
            <w:tcW w:w="508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50%</w:t>
            </w:r>
          </w:p>
        </w:tc>
        <w:tc>
          <w:tcPr>
            <w:tcW w:w="438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</w:tr>
    </w:tbl>
    <w:p>
      <w:pPr>
        <w:pStyle w:val="ListParagraph"/>
        <w:spacing w:lineRule="auto" w:line="240" w:before="0" w:after="0"/>
        <w:ind w:left="0" w:firstLine="851"/>
        <w:contextualSpacing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8"/>
          <w:szCs w:val="28"/>
        </w:rPr>
        <w:t>*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площадь земельного участка:</w:t>
      </w:r>
    </w:p>
    <w:p>
      <w:pPr>
        <w:pStyle w:val="ListParagraph"/>
        <w:spacing w:lineRule="auto" w:line="240" w:before="0" w:after="0"/>
        <w:ind w:left="0" w:firstLine="851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–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необходимая для осуществления деятельности органов местного самоуправления;</w:t>
      </w:r>
    </w:p>
    <w:p>
      <w:pPr>
        <w:pStyle w:val="ListParagraph"/>
        <w:spacing w:lineRule="auto" w:line="240" w:before="0" w:after="0"/>
        <w:ind w:left="0" w:firstLine="851"/>
        <w:contextualSpacing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–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зарезервированная для государственных (муниципальных) нужд</w:t>
      </w:r>
      <w:bookmarkStart w:id="0" w:name="_GoBack"/>
      <w:bookmarkEnd w:id="0"/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.</w:t>
      </w:r>
    </w:p>
    <w:p>
      <w:pPr>
        <w:pStyle w:val="ListParagraph"/>
        <w:spacing w:lineRule="auto" w:line="240" w:before="0" w:after="0"/>
        <w:ind w:left="0" w:firstLine="851"/>
        <w:contextualSpacing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Земельный участок признается неэффективно используемым при следующих значениях:</w:t>
      </w:r>
    </w:p>
    <w:p>
      <w:pPr>
        <w:pStyle w:val="Normal"/>
        <w:ind w:firstLine="567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50 баллов.</w:t>
      </w:r>
      <w:r>
        <w:br w:type="page"/>
      </w:r>
    </w:p>
    <w:p>
      <w:pPr>
        <w:pStyle w:val="Normal"/>
        <w:spacing w:lineRule="auto" w:line="240"/>
        <w:ind w:left="524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Приложение № 5 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Сводный отчет по оценке эффективности использования имущества Мичуринского района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, </w:t>
      </w:r>
      <w:r>
        <w:rPr>
          <w:rFonts w:cs="Times New Roman" w:ascii="Times New Roman" w:hAnsi="Times New Roman"/>
          <w:b/>
          <w:i w:val="false"/>
          <w:iCs w:val="false"/>
          <w:sz w:val="28"/>
          <w:szCs w:val="28"/>
        </w:rPr>
        <w:t>учреждения</w:t>
      </w:r>
      <w:r>
        <w:rPr>
          <w:rFonts w:cs="Times New Roman" w:ascii="Times New Roman" w:hAnsi="Times New Roman"/>
          <w:b/>
          <w:sz w:val="28"/>
          <w:szCs w:val="28"/>
        </w:rPr>
        <w:t xml:space="preserve"> в __________ году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5"/>
        <w:tblW w:w="1470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1"/>
        <w:gridCol w:w="1979"/>
        <w:gridCol w:w="2561"/>
        <w:gridCol w:w="1892"/>
        <w:gridCol w:w="1842"/>
        <w:gridCol w:w="1871"/>
        <w:gridCol w:w="1895"/>
        <w:gridCol w:w="1988"/>
      </w:tblGrid>
      <w:tr>
        <w:trPr/>
        <w:tc>
          <w:tcPr>
            <w:tcW w:w="6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Реестровый номер имущества</w:t>
            </w:r>
          </w:p>
        </w:tc>
        <w:tc>
          <w:tcPr>
            <w:tcW w:w="2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8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показателя «Использование здания, нежилого помещения»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(сумма баллов)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показателя «Факторы коммерческого использования здания, нежилого помещения»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(сумма баллов)</w:t>
            </w:r>
          </w:p>
        </w:tc>
        <w:tc>
          <w:tcPr>
            <w:tcW w:w="18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показателя «Загруженность здания, нежилого помещения»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(сумма баллов)</w:t>
            </w:r>
          </w:p>
        </w:tc>
        <w:tc>
          <w:tcPr>
            <w:tcW w:w="18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показателя «Использование земельного участка»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(сумма баллов)</w:t>
            </w:r>
          </w:p>
        </w:tc>
        <w:tc>
          <w:tcPr>
            <w:tcW w:w="19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Предварительная оценка эффективности использования имущества</w:t>
            </w:r>
            <w:r>
              <w:rPr>
                <w:rStyle w:val="Style19"/>
                <w:rStyle w:val="Style19"/>
                <w:rFonts w:cs="Times New Roman"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(эффективно используется / неэффективно используется)</w:t>
            </w:r>
          </w:p>
        </w:tc>
      </w:tr>
      <w:tr>
        <w:trPr/>
        <w:tc>
          <w:tcPr>
            <w:tcW w:w="6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18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19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6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9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25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8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8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8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9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</w:tbl>
    <w:p>
      <w:pPr>
        <w:sectPr>
          <w:headerReference w:type="default" r:id="rId2"/>
          <w:footnotePr>
            <w:numFmt w:val="decimal"/>
          </w:footnotePr>
          <w:type w:val="nextPage"/>
          <w:pgSz w:orient="landscape" w:w="16838" w:h="11906"/>
          <w:pgMar w:left="993" w:right="1134" w:header="708" w:top="1134" w:footer="0" w:bottom="566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pacing w:lineRule="auto" w:line="240"/>
        <w:ind w:left="524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Приложение № </w:t>
      </w:r>
      <w:r>
        <w:rPr>
          <w:rFonts w:cs="Times New Roman" w:ascii="Times New Roman" w:hAnsi="Times New Roman"/>
          <w:sz w:val="28"/>
          <w:szCs w:val="28"/>
          <w:lang w:val="en-US"/>
        </w:rPr>
        <w:t>6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Сведения об объекте имущества, находящемся в казне Мичуринского района </w:t>
      </w:r>
      <w:r>
        <w:rPr>
          <w:rFonts w:cs="Times New Roman" w:ascii="Times New Roman" w:hAnsi="Times New Roman"/>
          <w:b/>
          <w:i w:val="false"/>
          <w:iCs w:val="false"/>
          <w:sz w:val="28"/>
          <w:szCs w:val="28"/>
        </w:rPr>
        <w:t>или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закрепленном на праве оперативного управления за муниципальными учреждениями  Мичуринского района  Тамбовской области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 состоянию на «__» _________ 20__ года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480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88"/>
        <w:gridCol w:w="9922"/>
        <w:gridCol w:w="4394"/>
      </w:tblGrid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Реестровый номер объекта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(указывается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либо технической документацией)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Кадастровый номер объекта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Местонахождение объекта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Назначение объекта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правоустанавливающего документа (номер распорядительного документа, дата)</w:t>
            </w:r>
            <w:r>
              <w:rPr>
                <w:rStyle w:val="FootnoteCharacters"/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19"/>
                <w:rStyle w:val="Style19"/>
                <w:rFonts w:cs="Times New Roman" w:ascii="Times New Roman" w:hAnsi="Times New Roman"/>
                <w:sz w:val="24"/>
                <w:szCs w:val="24"/>
              </w:rPr>
              <w:footnoteReference w:id="3"/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Общая площадь, кв. м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81"/>
            <w:bookmarkStart w:id="2" w:name="P187"/>
            <w:bookmarkEnd w:id="1"/>
            <w:bookmarkEnd w:id="2"/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Обременения, ограничения прав (основание, срок действия)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арендаторов (пользователей)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Площадь свободных (неиспользуемых) помещений, кв. 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Описание свободных (неиспользуемых) помещений</w:t>
            </w:r>
            <w:r>
              <w:rPr>
                <w:rStyle w:val="Style19"/>
                <w:rStyle w:val="Style19"/>
                <w:rFonts w:cs="Times New Roman" w:ascii="Times New Roman" w:hAnsi="Times New Roman"/>
                <w:sz w:val="24"/>
                <w:szCs w:val="24"/>
              </w:rPr>
              <w:footnoteReference w:id="4"/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Предложения по повышению эффективности использования объекта, вовлечению объекта в хозяйственный оборот либо указание причин, приведших к непригодности его дальнейшей эксплуатации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3" w:name="P214"/>
      <w:bookmarkStart w:id="4" w:name="P214"/>
      <w:bookmarkEnd w:id="4"/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Данные, отраженные в форме, подтверждаем: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Руководитель организации (балансодержателя объекта):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 ___________________ /______________________/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(должность)           (подпись)               (Ф.И.О.)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Главный бухгалтер организации (балансодержателя объекта):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 ___________________ /______________________/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(должность)          (подпись)               (Ф.И.О.)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/>
        <w:ind w:left="524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Приложение № </w:t>
      </w:r>
      <w:r>
        <w:rPr>
          <w:rFonts w:cs="Times New Roman" w:ascii="Times New Roman" w:hAnsi="Times New Roman"/>
          <w:sz w:val="28"/>
          <w:szCs w:val="28"/>
          <w:lang w:val="en-US"/>
        </w:rPr>
        <w:t>7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Сведения о земельном участке, находящемся в казне Мичуринского района Тамбовской  области </w:t>
      </w:r>
      <w:r>
        <w:rPr>
          <w:rFonts w:cs="Times New Roman" w:ascii="Times New Roman" w:hAnsi="Times New Roman"/>
          <w:b/>
          <w:i w:val="false"/>
          <w:iCs w:val="false"/>
          <w:sz w:val="28"/>
          <w:szCs w:val="28"/>
        </w:rPr>
        <w:t>или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закрепленном на праве  постоянного (бессрочному) пользованию за муниципальными учреждениями  Мичуринского района Тамбовской области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 состоянию на «__» _________ 20__ года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480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565"/>
        <w:gridCol w:w="9845"/>
        <w:gridCol w:w="439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Реестровый номер земельного участка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tabs>
                <w:tab w:val="clear" w:pos="708"/>
                <w:tab w:val="left" w:pos="5973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Категория земель</w:t>
              <w:tab/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Площадь, кв. 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Обременения, ограничения прав (основание, срок действия)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Описание земельного участка</w:t>
            </w:r>
            <w:r>
              <w:rPr>
                <w:rStyle w:val="Style19"/>
                <w:rStyle w:val="Style19"/>
                <w:rFonts w:cs="Times New Roman" w:ascii="Times New Roman" w:hAnsi="Times New Roman"/>
                <w:sz w:val="24"/>
                <w:szCs w:val="24"/>
              </w:rPr>
              <w:footnoteReference w:id="5"/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Предложения по повышению эффективности использования земельного участка, вовлечению его в хозяйственный оборот либо указание причин, приведших к непригодности его дальнейшей эксплуатации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Данные, отраженные в форме, подтверждаем: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 ___________________ /______________________/     (должность)            (подпись)               (Ф.И.О.)</w:t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3"/>
      <w:footnotePr>
        <w:numFmt w:val="decimal"/>
      </w:footnotePr>
      <w:type w:val="nextPage"/>
      <w:pgSz w:orient="landscape" w:w="16838" w:h="11906"/>
      <w:pgMar w:left="993" w:right="1134" w:header="708" w:top="1418" w:footer="0" w:bottom="566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2"/>
        <w:rPr/>
      </w:pPr>
      <w:r>
        <w:rPr>
          <w:rStyle w:val="Style22"/>
        </w:rPr>
        <w:footnoteRef/>
      </w:r>
      <w:r>
        <w:rPr/>
        <w:t xml:space="preserve"> </w:t>
      </w:r>
      <w:r>
        <w:rPr/>
        <w:t>В случае, если значение одного или нескольких показателей соответствует значениям, при которых объект признается неэффективно используемым, указывается – «неэффективно используется», в остальных случаях указывается – «эффективно используется»</w:t>
      </w:r>
    </w:p>
  </w:footnote>
  <w:footnote w:id="3">
    <w:p>
      <w:pPr>
        <w:pStyle w:val="Style32"/>
        <w:rPr/>
      </w:pPr>
      <w:r>
        <w:rPr>
          <w:rStyle w:val="Style22"/>
        </w:rPr>
        <w:footnoteRef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</w:rPr>
        <w:t>Указывается в отношении имущества, закрепленного за учреждениями</w:t>
      </w:r>
    </w:p>
  </w:footnote>
  <w:footnote w:id="4">
    <w:p>
      <w:pPr>
        <w:pStyle w:val="Style32"/>
        <w:rPr/>
      </w:pPr>
      <w:r>
        <w:rPr>
          <w:rStyle w:val="Style22"/>
        </w:rPr>
        <w:footnoteRef/>
      </w:r>
      <w:r>
        <w:rPr/>
        <w:t xml:space="preserve"> </w:t>
      </w:r>
      <w:r>
        <w:rPr>
          <w:rFonts w:cs="Times New Roman" w:ascii="Times New Roman" w:hAnsi="Times New Roman"/>
        </w:rPr>
        <w:t>Указываются сведения в свободной форме (состояние имущества, особенности его расположения и взаиморасположения по отношению к иным объектам, конструктивные особенностей, режим использования территорий и иное)</w:t>
      </w:r>
    </w:p>
  </w:footnote>
  <w:footnote w:id="5">
    <w:p>
      <w:pPr>
        <w:pStyle w:val="Style32"/>
        <w:rPr/>
      </w:pPr>
      <w:r>
        <w:rPr>
          <w:rStyle w:val="Style22"/>
        </w:rPr>
        <w:footnoteRef/>
      </w:r>
      <w:r>
        <w:rPr/>
        <w:t xml:space="preserve"> </w:t>
      </w:r>
      <w:r>
        <w:rPr>
          <w:rFonts w:cs="Times New Roman" w:ascii="Times New Roman" w:hAnsi="Times New Roman"/>
        </w:rPr>
        <w:t>Указываются сведения в свободной форме (особенности его расположения и взаиморасположения по отношению к иным объектам, наличие подъездных путей и иное)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93721109"/>
    </w:sdtPr>
    <w:sdtContent>
      <w:p>
        <w:pPr>
          <w:pStyle w:val="Style30"/>
          <w:jc w:val="center"/>
          <w:rPr/>
        </w:pPr>
        <w:r>
          <w:rPr/>
        </w:r>
      </w:p>
      <w:p>
        <w:pPr>
          <w:pStyle w:val="Style30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25680905"/>
    </w:sdtPr>
    <w:sdtContent>
      <w:p>
        <w:pPr>
          <w:pStyle w:val="Style30"/>
          <w:jc w:val="center"/>
          <w:rPr/>
        </w:pPr>
        <w:r>
          <w:rPr/>
        </w:r>
      </w:p>
      <w:p>
        <w:pPr>
          <w:pStyle w:val="Style30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61b7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721d5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982a98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8"/>
    <w:uiPriority w:val="99"/>
    <w:qFormat/>
    <w:rsid w:val="00982a98"/>
    <w:rPr/>
  </w:style>
  <w:style w:type="character" w:styleId="Style17" w:customStyle="1">
    <w:name w:val="Нижний колонтитул Знак"/>
    <w:basedOn w:val="DefaultParagraphFont"/>
    <w:link w:val="aa"/>
    <w:uiPriority w:val="99"/>
    <w:qFormat/>
    <w:rsid w:val="00982a98"/>
    <w:rPr/>
  </w:style>
  <w:style w:type="character" w:styleId="Style18" w:customStyle="1">
    <w:name w:val="Текст сноски Знак"/>
    <w:basedOn w:val="DefaultParagraphFont"/>
    <w:link w:val="ac"/>
    <w:uiPriority w:val="99"/>
    <w:semiHidden/>
    <w:qFormat/>
    <w:rsid w:val="00f40b60"/>
    <w:rPr>
      <w:sz w:val="20"/>
      <w:szCs w:val="20"/>
    </w:rPr>
  </w:style>
  <w:style w:type="character" w:styleId="Style19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f40b60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477c4"/>
    <w:rPr>
      <w:sz w:val="16"/>
      <w:szCs w:val="16"/>
    </w:rPr>
  </w:style>
  <w:style w:type="character" w:styleId="Style20" w:customStyle="1">
    <w:name w:val="Текст примечания Знак"/>
    <w:basedOn w:val="DefaultParagraphFont"/>
    <w:link w:val="af0"/>
    <w:uiPriority w:val="99"/>
    <w:qFormat/>
    <w:rsid w:val="00b477c4"/>
    <w:rPr>
      <w:sz w:val="20"/>
      <w:szCs w:val="20"/>
    </w:rPr>
  </w:style>
  <w:style w:type="character" w:styleId="Style21" w:customStyle="1">
    <w:name w:val="Тема примечания Знак"/>
    <w:basedOn w:val="Style20"/>
    <w:link w:val="af2"/>
    <w:uiPriority w:val="99"/>
    <w:semiHidden/>
    <w:qFormat/>
    <w:rsid w:val="00b477c4"/>
    <w:rPr>
      <w:b/>
      <w:bCs/>
      <w:sz w:val="20"/>
      <w:szCs w:val="20"/>
    </w:rPr>
  </w:style>
  <w:style w:type="character" w:styleId="ListLabel1">
    <w:name w:val="ListLabel 1"/>
    <w:qFormat/>
    <w:rPr>
      <w:rFonts w:eastAsia="" w:cs="Times New Roman"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eastAsia="Times New Roman" w:cs="Times New Roman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ascii="Times New Roman" w:hAnsi="Times New Roman" w:cs="Times New Roman"/>
      <w:b w:val="false"/>
      <w:sz w:val="28"/>
      <w:szCs w:val="28"/>
    </w:rPr>
  </w:style>
  <w:style w:type="character" w:styleId="ListLabel8">
    <w:name w:val="ListLabel 8"/>
    <w:qFormat/>
    <w:rPr>
      <w:rFonts w:ascii="Times New Roman" w:hAnsi="Times New Roman" w:cs="Times New Roman"/>
      <w:sz w:val="28"/>
      <w:szCs w:val="28"/>
    </w:rPr>
  </w:style>
  <w:style w:type="character" w:styleId="Style22">
    <w:name w:val="Символ сноски"/>
    <w:qFormat/>
    <w:rPr/>
  </w:style>
  <w:style w:type="character" w:styleId="Style23">
    <w:name w:val="Привязка концевой сноски"/>
    <w:rPr>
      <w:vertAlign w:val="superscript"/>
    </w:rPr>
  </w:style>
  <w:style w:type="character" w:styleId="Style24">
    <w:name w:val="Символ концевой сноски"/>
    <w:qFormat/>
    <w:rPr/>
  </w:style>
  <w:style w:type="character" w:styleId="ListLabel9">
    <w:name w:val="ListLabel 9"/>
    <w:qFormat/>
    <w:rPr>
      <w:rFonts w:ascii="Times New Roman" w:hAnsi="Times New Roman" w:cs="Times New Roman"/>
      <w:b w:val="false"/>
      <w:sz w:val="28"/>
      <w:szCs w:val="28"/>
    </w:rPr>
  </w:style>
  <w:style w:type="character" w:styleId="ListLabel10">
    <w:name w:val="ListLabel 10"/>
    <w:qFormat/>
    <w:rPr>
      <w:rFonts w:ascii="Times New Roman" w:hAnsi="Times New Roman" w:cs="Times New Roman"/>
      <w:sz w:val="28"/>
      <w:szCs w:val="28"/>
    </w:rPr>
  </w:style>
  <w:style w:type="character" w:styleId="ListLabel11">
    <w:name w:val="ListLabel 11"/>
    <w:qFormat/>
    <w:rPr>
      <w:rFonts w:ascii="Times New Roman" w:hAnsi="Times New Roman" w:cs="Times New Roman"/>
      <w:b w:val="false"/>
      <w:sz w:val="28"/>
      <w:szCs w:val="28"/>
    </w:rPr>
  </w:style>
  <w:style w:type="character" w:styleId="ListLabel12">
    <w:name w:val="ListLabel 12"/>
    <w:qFormat/>
    <w:rPr>
      <w:rFonts w:ascii="Times New Roman" w:hAnsi="Times New Roman" w:cs="Times New Roman"/>
      <w:sz w:val="28"/>
      <w:szCs w:val="28"/>
    </w:rPr>
  </w:style>
  <w:style w:type="paragraph" w:styleId="Style25">
    <w:name w:val="Заголовок"/>
    <w:basedOn w:val="Normal"/>
    <w:next w:val="Style2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6">
    <w:name w:val="Body Text"/>
    <w:basedOn w:val="Normal"/>
    <w:pPr>
      <w:spacing w:lineRule="auto" w:line="276" w:before="0" w:after="140"/>
    </w:pPr>
    <w:rPr/>
  </w:style>
  <w:style w:type="paragraph" w:styleId="Style27">
    <w:name w:val="List"/>
    <w:basedOn w:val="Style26"/>
    <w:pPr/>
    <w:rPr>
      <w:rFonts w:cs="Lucida Sans"/>
    </w:rPr>
  </w:style>
  <w:style w:type="paragraph" w:styleId="Style2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a61b79"/>
    <w:pPr>
      <w:spacing w:lineRule="auto" w:line="276" w:before="0" w:after="200"/>
      <w:ind w:left="720" w:hanging="0"/>
      <w:contextualSpacing/>
    </w:pPr>
    <w:rPr>
      <w:rFonts w:eastAsia="" w:eastAsiaTheme="minorEastAsia"/>
      <w:lang w:eastAsia="ru-RU"/>
    </w:rPr>
  </w:style>
  <w:style w:type="paragraph" w:styleId="Default" w:customStyle="1">
    <w:name w:val="Default"/>
    <w:qFormat/>
    <w:rsid w:val="00a61b79"/>
    <w:pPr>
      <w:widowControl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rsid w:val="00cd49b4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982a9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30">
    <w:name w:val="Header"/>
    <w:basedOn w:val="Normal"/>
    <w:link w:val="a9"/>
    <w:uiPriority w:val="99"/>
    <w:unhideWhenUsed/>
    <w:rsid w:val="00982a9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link w:val="ab"/>
    <w:uiPriority w:val="99"/>
    <w:unhideWhenUsed/>
    <w:rsid w:val="00982a9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Title" w:customStyle="1">
    <w:name w:val="ConsPlusTitle"/>
    <w:qFormat/>
    <w:rsid w:val="00f40b6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f40b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32">
    <w:name w:val="Footnote Text"/>
    <w:basedOn w:val="Normal"/>
    <w:link w:val="ad"/>
    <w:uiPriority w:val="99"/>
    <w:semiHidden/>
    <w:unhideWhenUsed/>
    <w:rsid w:val="00f40b60"/>
    <w:pPr>
      <w:spacing w:lineRule="auto" w:line="240" w:before="0" w:after="0"/>
    </w:pPr>
    <w:rPr>
      <w:sz w:val="20"/>
      <w:szCs w:val="20"/>
    </w:rPr>
  </w:style>
  <w:style w:type="paragraph" w:styleId="Annotationtext">
    <w:name w:val="annotation text"/>
    <w:basedOn w:val="Normal"/>
    <w:link w:val="af1"/>
    <w:uiPriority w:val="99"/>
    <w:unhideWhenUsed/>
    <w:qFormat/>
    <w:rsid w:val="00b477c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3"/>
    <w:uiPriority w:val="99"/>
    <w:semiHidden/>
    <w:unhideWhenUsed/>
    <w:qFormat/>
    <w:rsid w:val="00b477c4"/>
    <w:pPr/>
    <w:rPr>
      <w:b/>
      <w:bCs/>
    </w:rPr>
  </w:style>
  <w:style w:type="paragraph" w:styleId="Revision">
    <w:name w:val="Revision"/>
    <w:uiPriority w:val="99"/>
    <w:semiHidden/>
    <w:qFormat/>
    <w:rsid w:val="00922c5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cd49b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E4408-D7B8-4A9B-80A2-0FFEF8DF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Application>LibreOffice/6.1.3.2$Windows_X86_64 LibreOffice_project/86daf60bf00efa86ad547e59e09d6bb77c699acb</Application>
  <Pages>9</Pages>
  <Words>934</Words>
  <Characters>6611</Characters>
  <CharactersWithSpaces>7459</CharactersWithSpaces>
  <Paragraphs>201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2020-10-07T17:08:00Z</dcterms:created>
  <dc:creator>Богданова Марина Валерьевна</dc:creator>
  <dc:description/>
  <dc:language>ru-RU</dc:language>
  <cp:lastModifiedBy/>
  <cp:lastPrinted>2021-02-19T12:50:52Z</cp:lastPrinted>
  <dcterms:modified xsi:type="dcterms:W3CDTF">2021-02-19T12:51:41Z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