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8F" w:rsidRPr="00F41E96" w:rsidRDefault="00FE2C8F" w:rsidP="00FE2C8F">
      <w:pPr>
        <w:pStyle w:val="Standard"/>
        <w:ind w:left="4248"/>
        <w:jc w:val="center"/>
        <w:rPr>
          <w:szCs w:val="28"/>
        </w:rPr>
      </w:pPr>
      <w:r w:rsidRPr="00F41E96">
        <w:rPr>
          <w:szCs w:val="28"/>
        </w:rPr>
        <w:t>Приложение 2</w:t>
      </w:r>
    </w:p>
    <w:p w:rsidR="00FE2C8F" w:rsidRPr="00F41E96" w:rsidRDefault="00FE2C8F" w:rsidP="00FE2C8F">
      <w:pPr>
        <w:ind w:left="4608"/>
        <w:jc w:val="center"/>
        <w:rPr>
          <w:szCs w:val="28"/>
        </w:rPr>
      </w:pPr>
      <w:r w:rsidRPr="00F41E96">
        <w:rPr>
          <w:szCs w:val="28"/>
        </w:rPr>
        <w:t xml:space="preserve">к Порядку проведения и организации </w:t>
      </w:r>
      <w:proofErr w:type="gramStart"/>
      <w:r w:rsidRPr="00F41E96">
        <w:rPr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 w:rsidRPr="00F41E96">
        <w:rPr>
          <w:i/>
          <w:szCs w:val="28"/>
          <w:u w:val="single"/>
        </w:rPr>
        <w:t xml:space="preserve"> </w:t>
      </w:r>
      <w:r w:rsidRPr="00F41E96">
        <w:rPr>
          <w:bCs/>
          <w:szCs w:val="28"/>
        </w:rPr>
        <w:t xml:space="preserve">и экспертизы нормативных правовых актов органов местного самоуправления </w:t>
      </w:r>
      <w:r w:rsidRPr="00F41E96">
        <w:rPr>
          <w:szCs w:val="28"/>
        </w:rPr>
        <w:t>Мичуринского района</w:t>
      </w:r>
    </w:p>
    <w:p w:rsidR="00FE2C8F" w:rsidRDefault="00FE2C8F" w:rsidP="00FE2C8F">
      <w:pPr>
        <w:ind w:left="4608"/>
        <w:jc w:val="center"/>
        <w:rPr>
          <w:sz w:val="28"/>
          <w:szCs w:val="28"/>
        </w:rPr>
      </w:pPr>
    </w:p>
    <w:p w:rsidR="00FE2C8F" w:rsidRDefault="00FE2C8F" w:rsidP="00FE2C8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</w:t>
      </w:r>
    </w:p>
    <w:p w:rsidR="00A35D06" w:rsidRPr="00A35D06" w:rsidRDefault="00FE2C8F" w:rsidP="00291AE4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для участников публичных консультаций по </w:t>
      </w:r>
      <w:r w:rsidRPr="00FE2C8F">
        <w:rPr>
          <w:b/>
          <w:sz w:val="28"/>
        </w:rPr>
        <w:t xml:space="preserve">постановлению администрации Мичуринского района Тамбовской </w:t>
      </w:r>
      <w:r w:rsidRPr="005D52EF">
        <w:rPr>
          <w:b/>
          <w:sz w:val="28"/>
        </w:rPr>
        <w:t xml:space="preserve">области </w:t>
      </w:r>
      <w:r w:rsidR="00A35D06" w:rsidRPr="00A35D06">
        <w:rPr>
          <w:b/>
          <w:sz w:val="28"/>
        </w:rPr>
        <w:t>от</w:t>
      </w:r>
      <w:r w:rsidR="00291AE4">
        <w:rPr>
          <w:b/>
          <w:sz w:val="28"/>
        </w:rPr>
        <w:t xml:space="preserve">  </w:t>
      </w:r>
      <w:r w:rsidR="00291AE4" w:rsidRPr="00291AE4">
        <w:rPr>
          <w:b/>
          <w:sz w:val="28"/>
        </w:rPr>
        <w:t xml:space="preserve">21.12.2015 №1718 </w:t>
      </w:r>
      <w:r w:rsidR="00291AE4" w:rsidRPr="00291AE4">
        <w:rPr>
          <w:b/>
          <w:sz w:val="28"/>
          <w:szCs w:val="28"/>
        </w:rPr>
        <w:t xml:space="preserve">«Об утверждении Регламента сопровождения инвестиционных проектов по принципу «одного окна» на территории </w:t>
      </w:r>
      <w:r w:rsidR="00291AE4" w:rsidRPr="00291AE4">
        <w:rPr>
          <w:b/>
          <w:bCs/>
          <w:sz w:val="28"/>
          <w:szCs w:val="28"/>
        </w:rPr>
        <w:t>Мичуринского района»</w:t>
      </w:r>
      <w:r w:rsidR="00291AE4" w:rsidRPr="00291AE4">
        <w:rPr>
          <w:b/>
          <w:bCs/>
          <w:szCs w:val="28"/>
        </w:rPr>
        <w:t>.</w:t>
      </w:r>
    </w:p>
    <w:p w:rsidR="00FE2C8F" w:rsidRPr="005D52EF" w:rsidRDefault="00FE2C8F" w:rsidP="00FE2C8F">
      <w:pPr>
        <w:jc w:val="center"/>
        <w:rPr>
          <w:sz w:val="28"/>
        </w:rPr>
      </w:pPr>
      <w:bookmarkStart w:id="0" w:name="_GoBack"/>
      <w:bookmarkEnd w:id="0"/>
    </w:p>
    <w:p w:rsidR="00FE2C8F" w:rsidRPr="005D52EF" w:rsidRDefault="00FE2C8F" w:rsidP="00FE2C8F">
      <w:pPr>
        <w:pStyle w:val="Standard"/>
        <w:jc w:val="center"/>
        <w:rPr>
          <w:b/>
          <w:bCs/>
          <w:iCs/>
          <w:sz w:val="28"/>
          <w:szCs w:val="28"/>
        </w:rPr>
      </w:pPr>
    </w:p>
    <w:p w:rsidR="00FE2C8F" w:rsidRDefault="00FE2C8F" w:rsidP="00FE2C8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FE2C8F" w:rsidRDefault="00FE2C8F" w:rsidP="00FE2C8F">
      <w:pPr>
        <w:pStyle w:val="Standard"/>
        <w:jc w:val="both"/>
      </w:pPr>
      <w:r>
        <w:rPr>
          <w:sz w:val="28"/>
          <w:szCs w:val="28"/>
        </w:rPr>
        <w:tab/>
        <w:t xml:space="preserve">2. </w:t>
      </w:r>
      <w:r>
        <w:rPr>
          <w:rFonts w:ascii="TimesNewRomanPSMT" w:hAnsi="TimesNewRomanPSMT"/>
          <w:sz w:val="28"/>
        </w:rPr>
        <w:t>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>
        <w:rPr>
          <w:rFonts w:ascii="TimesNewRomanPSMT" w:hAnsi="TimesNewRomanPSMT"/>
          <w:sz w:val="28"/>
        </w:rPr>
        <w:t>затратны</w:t>
      </w:r>
      <w:proofErr w:type="spellEnd"/>
      <w:r>
        <w:rPr>
          <w:rFonts w:ascii="TimesNewRomanPSMT" w:hAnsi="TimesNewRomanPSMT"/>
          <w:sz w:val="28"/>
        </w:rPr>
        <w:t xml:space="preserve"> и (или) более эффективны.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5. Существуют ли в предлагаемом действующем нормативном правовом акте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6. К каким последствиям может привести </w:t>
      </w:r>
      <w:proofErr w:type="spellStart"/>
      <w:r>
        <w:rPr>
          <w:rFonts w:ascii="TimesNewRomanPSMT" w:hAnsi="TimesNewRomanPSMT"/>
          <w:sz w:val="28"/>
        </w:rPr>
        <w:t>недостижение</w:t>
      </w:r>
      <w:proofErr w:type="spellEnd"/>
      <w:r>
        <w:rPr>
          <w:rFonts w:ascii="TimesNewRomanPSMT" w:hAnsi="TimesNewRomanPSMT"/>
          <w:sz w:val="28"/>
        </w:rPr>
        <w:t xml:space="preserve"> целей правового регулирования?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7. Оцените предполагаемые издержки и выгоды субъектов предпринимательской и инвестиционной деятельности.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9.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4F5F27" w:rsidRDefault="00FE2C8F">
      <w:r>
        <w:rPr>
          <w:rFonts w:ascii="TimesNewRomanPSMT" w:hAnsi="TimesNewRomanPSMT"/>
          <w:sz w:val="28"/>
        </w:rPr>
        <w:tab/>
        <w:t>10. Иные предложения и замечания, которые, по Вашему мнению, целесообразно учесть в рамках оценки регулирующего воздействия</w:t>
      </w:r>
      <w:r w:rsidR="00AB6533">
        <w:rPr>
          <w:rFonts w:ascii="TimesNewRomanPSMT" w:hAnsi="TimesNewRomanPSMT"/>
          <w:sz w:val="28"/>
        </w:rPr>
        <w:t>.</w:t>
      </w:r>
    </w:p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8F"/>
    <w:rsid w:val="00291AE4"/>
    <w:rsid w:val="004F5F27"/>
    <w:rsid w:val="005D52EF"/>
    <w:rsid w:val="005F2EB3"/>
    <w:rsid w:val="00A35D06"/>
    <w:rsid w:val="00AB6533"/>
    <w:rsid w:val="00F41E96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E2C8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E2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E2C8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E2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2017-08-17T08:19:00Z</dcterms:created>
  <dcterms:modified xsi:type="dcterms:W3CDTF">2019-02-01T13:40:00Z</dcterms:modified>
</cp:coreProperties>
</file>